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81" w:type="dxa"/>
        <w:tblInd w:w="-1310" w:type="dxa"/>
        <w:tblLook w:val="04A0" w:firstRow="1" w:lastRow="0" w:firstColumn="1" w:lastColumn="0" w:noHBand="0" w:noVBand="1"/>
      </w:tblPr>
      <w:tblGrid>
        <w:gridCol w:w="1743"/>
        <w:gridCol w:w="7220"/>
        <w:gridCol w:w="1116"/>
        <w:gridCol w:w="802"/>
      </w:tblGrid>
      <w:tr w:rsidR="009E4267" w:rsidRPr="009E4267" w:rsidTr="009E4267">
        <w:tc>
          <w:tcPr>
            <w:tcW w:w="1748" w:type="dxa"/>
          </w:tcPr>
          <w:p w:rsidR="009E4267" w:rsidRPr="009E4267" w:rsidRDefault="009E4267" w:rsidP="007E4DA0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7325" w:type="dxa"/>
          </w:tcPr>
          <w:p w:rsidR="009E4267" w:rsidRPr="009E4267" w:rsidRDefault="009E4267" w:rsidP="007E4DA0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999" w:type="dxa"/>
          </w:tcPr>
          <w:p w:rsidR="009E4267" w:rsidRPr="009E4267" w:rsidRDefault="009E4267" w:rsidP="007E4DA0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Цена</w:t>
            </w:r>
          </w:p>
        </w:tc>
        <w:tc>
          <w:tcPr>
            <w:tcW w:w="809" w:type="dxa"/>
          </w:tcPr>
          <w:p w:rsidR="009E4267" w:rsidRPr="009E4267" w:rsidRDefault="009E4267" w:rsidP="007E4DA0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</w:tr>
      <w:tr w:rsidR="009E4267" w:rsidRPr="009E4267" w:rsidTr="009E4267">
        <w:tc>
          <w:tcPr>
            <w:tcW w:w="1748" w:type="dxa"/>
          </w:tcPr>
          <w:p w:rsidR="009E4267" w:rsidRPr="009E4267" w:rsidRDefault="009E4267" w:rsidP="007E4DA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Шприцевой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инфузиционный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насос</w:t>
            </w:r>
          </w:p>
        </w:tc>
        <w:tc>
          <w:tcPr>
            <w:tcW w:w="7325" w:type="dxa"/>
          </w:tcPr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Тип прибора Шприцевой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инфузионный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насос</w:t>
            </w:r>
            <w:proofErr w:type="gram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стыковка модулей без внешних устройств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Классификация (в соотв.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IEC/EN 60601-1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защита от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дефибрилляции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; CF тип класс защиты II; В комбинации со Станцией класс защиты 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Класс (в соотв. с Директивой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93/42 ЕЕС) II b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Сертифицирован для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транспортировки пациента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1) 1) DIN EN 1789 Тип B: Машины Скорой помощи 2) 2) DIN EN 1789 Тип C: Передвижные ОРИТ 3) 3) EN 13718-1: Транспортировка по воздуху, воде и бездорожью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Защита от влаги IP 22 (защита от брызг в горизонтальном положении)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Внешний источник питания: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-номинальное напряжение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-Внешний низковольтный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источник От Станции или опционального блок питания (номинальное напряжение 100 ... 240 В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перем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. тока, 50/60 Гц) при одиночном использовании 11 ... 16 В пост. тока через внешний низковольтный источник 12</w:t>
            </w:r>
            <w:proofErr w:type="gram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или Станцию.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Вызов персонала Макс. 24В / 0,5</w:t>
            </w:r>
            <w:proofErr w:type="gram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proofErr w:type="gram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24 ВА (VDE 0834)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EMC IEC/EN 60601-1-2 / 60601-2-24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Тип аккумулятора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(перезаряжаемый)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NiMH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, простая и быстрая замена, не требует вскрытия прибора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Время работы от аккумулятора Более 8 часов при скорости более 25 мл/ч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Время зарядки аккумулятора Прибл. 6 часов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Потребление электроэнергии Прибл. 20W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Вес Не более 1.4 кг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Графический дисплей Высокое разрешение, регулировка подсветки и контраста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Визуальная сигнализация</w:t>
            </w:r>
            <w:proofErr w:type="gram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</w:t>
            </w:r>
            <w:proofErr w:type="gram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ри уровня визуальной сигнализации в процессе работы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Размеры В пределах: 249 х 68 х 152 мм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Установка объема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0,1 – 99,99 мл, шаг 0,01 мл 100,0 – 999,9 мл, шаг 0,1 мл 1000 – 9999 мл, шаг 1 мл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Задание времени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инфузии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00:01 – 99 ч:59 мин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Скорость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инфузии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0.01 – 1800 мл/ч, минимальный шаг 0.01 </w:t>
            </w:r>
            <w:proofErr w:type="gram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мл/ч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Скорость болюса 1÷1800мл/ч для шприцев 50/60 мл 1÷1200 мл/ч для шприцов 35/30мл 1÷800 мл/ч для шприцов 20мл 1 ÷500 мл/ч для шприцов 12/10мл 1 ÷300 мл/ч для шприцов 5/6мл 1 ÷150 мл/ч для шприцов 2/3мл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Скорость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инфузии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режиме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KVO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Скорость ≥ 10 мл/ч</w:t>
            </w:r>
            <w:proofErr w:type="gram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: KVO 3 мл/ч Скорость &lt; 10 мл/ч: KVO 1 мл/ч Скорость &lt; 1 мл/ч: KVO = заданной скорости.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Инфузия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 новорожденных Ввод веса с точностью до грамма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Используемые шприцы 2/3,5,10,20,30,50/60 мл (различных фирм-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роизводителей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Точность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инфузии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± 2 % в соответствии с IEC/EN 60601-2-24, расчет по скорости и времени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Окклюзионная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тревога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proofErr w:type="gram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е менее 9 уровней от 0.1 до 1.2 бар, отображение значения в мм рт. ст.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Сигнал тревоги при неточном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дозировании При неправильном введении 0,1 мл из-за неисправности насоса, прибор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втоматически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останавливается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Система защиты против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свободного потока Наличие фиксатора штока для предупреждения свободного движения жидкости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Предупреждения Шприц почти пуст</w:t>
            </w:r>
            <w:proofErr w:type="gram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3 мин до заданного объема (истечения времени), батарея разряжается. Дополнительная система динамического контроля скачков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окклюзионного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давления: Позволяет определять резкие скачки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окклюзионного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давления и подавать сигнал тревоги при отсоединении линии от пациента или неправильной постановке периферического катетера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Индикация сигналов тревоги Оптический сигнал тревоги с текстовой информацией и цветовой индикацией. Двухканальный звуковой сигнал для максимальной защиты. Звуковой сигнал для выбранных препаратов.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Протокол событий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proofErr w:type="gram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 менее 1000 последних вводов данных Не менее 100 событий диагностики системы Просмотровая программа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History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Viewer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Экран, меню пользователя Экран графический, с подсветкой, меню на русском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языкеРедактор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списка лекарств До 1500 наименований лекарств, до 10 концентраций на каждое лекарство, включая параметры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инфузии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информацию о лекарстве, могут быть сохранены в 30 категориях. Загрузка списка в насос может быть произведена с помощью отдельной компьютерной программы. Для предупреждения ошибок возможен выбор мягких и жестких ограничений дозирования лекарства.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Расчет дозы Автоматический расчет скорости в виде дозы в г, мг, мкг,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нг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МЕ,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мЭкв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или ккал, весе, площади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поверхности тела и (или) режиме дозирования </w:t>
            </w:r>
            <w:proofErr w:type="gram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–в</w:t>
            </w:r>
            <w:proofErr w:type="gram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мин/ч/24ч (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напр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.:мг/кг/мин, мг/кг/ч, мг/кг/24ч) с автоматическим расчетом скорости болюса для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болюсной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инфузии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Параметры препаратов,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доступные в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программе насоса Название, концентрация, скорость по умолчанию, мин., макс.; дозировка по умолчанию, мин., макс.; параметры болюса по умолчанию, мин. и макс.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Режим «пауза» С таймером обратного отсчета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Инфузионные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профили Продленная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инфузия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поступательное ускорение/замедление, прерывистое введение, программируемый режим, функция подхвата (автоматическое начало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инфузии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препарата вторым насосом при окончания введения первым насосом), РСА, TOM.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Инфузия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управляемая по целевой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концентрации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Target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Controlled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Infusion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(TCI) В режиме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инфузии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управляемой по целевой концентрации (TCI) пользователь задает требуемую концентрацию лекарства в организме (цель), вместо скорости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инфузии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Скорости необходимые для достижения и поддержания указанной концентрации рассчитываются насосом с использованием алгоритма, основанного на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трехкамерной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фармакокинетической модели.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Встроенные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фармакокинетические модели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Marsh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Sсhnider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Minto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Защита параметров</w:t>
            </w:r>
            <w:proofErr w:type="gram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</w:t>
            </w:r>
            <w:proofErr w:type="gram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 менее 3-х уровней доступа к параметрам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инфузии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Типы интерфейсов Кабель СAN для соединения со станцией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Спейс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модулем </w:t>
            </w:r>
            <w:proofErr w:type="spell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пейском</w:t>
            </w:r>
            <w:proofErr w:type="spell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, ПК с интерфейсом USB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Настройка, программное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Конфигурация меню «пуск» и набор функций через сервисную программу. Обновление ПО через интерфейс USB (без открытия приборов) или централизованно в соединении со станцией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Условия эксплуатации + 5С…+40С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Сервисное обслуживание 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территории Казахстана да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Гарантийный срок</w:t>
            </w:r>
            <w:proofErr w:type="gramStart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</w:t>
            </w:r>
            <w:proofErr w:type="gramEnd"/>
            <w:r w:rsidRPr="009E4267">
              <w:rPr>
                <w:rFonts w:ascii="Times New Roman" w:hAnsi="Times New Roman"/>
                <w:color w:val="000000"/>
                <w:sz w:val="20"/>
                <w:szCs w:val="20"/>
              </w:rPr>
              <w:t>е менее 24 месяцев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Комплектация  Шприцевой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инфузионный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насос – 1 шт. Универсальный зажим для переноски до 3 насосов – 1 шт. Блок питания для отдельно используемых насосов - 1 шт.</w:t>
            </w:r>
          </w:p>
        </w:tc>
        <w:tc>
          <w:tcPr>
            <w:tcW w:w="999" w:type="dxa"/>
          </w:tcPr>
          <w:p w:rsidR="009E4267" w:rsidRPr="009E4267" w:rsidRDefault="00980E9E" w:rsidP="007E4D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843 750,00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809" w:type="dxa"/>
          </w:tcPr>
          <w:p w:rsidR="009E4267" w:rsidRPr="009E4267" w:rsidRDefault="00980E9E" w:rsidP="007E4D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E4267" w:rsidRPr="009E4267" w:rsidTr="009E4267">
        <w:tc>
          <w:tcPr>
            <w:tcW w:w="1748" w:type="dxa"/>
          </w:tcPr>
          <w:p w:rsidR="009E4267" w:rsidRPr="009E4267" w:rsidRDefault="009E4267" w:rsidP="007E4DA0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Хирургический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отсасыватель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электрический</w:t>
            </w:r>
          </w:p>
        </w:tc>
        <w:tc>
          <w:tcPr>
            <w:tcW w:w="7325" w:type="dxa"/>
          </w:tcPr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 xml:space="preserve">Корпус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отсасывателя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выполнен и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з металла с защитным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покрытием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>тсасыватель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оснащен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маневременными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кол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есами для быстрого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перемещения.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Емкость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-сборник оснащена клапаном, защищающим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отсасыватель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т перелива собираемой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жидкости.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Скорость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забора жидкости настраивае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тся удобной ручкой-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регулятором.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Удобное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и простое дистанци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онное включение ножной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педалью.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Отсасыватель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обеспечивает высокое отрицательн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ое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давление.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Маневренные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колеса позволяют легко пере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мещать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отсасыватель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помещении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Вместительные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стеклянные банки емкостью 2,5 литра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каждая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Удобная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дистанционная ножная пе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даль для включения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отсасывателя</w:t>
            </w:r>
            <w:proofErr w:type="spellEnd"/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>сего 2 кнопки на панели управления для простой и быст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рой настройки параметров работы 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Металлический корпус обеспечивает высокую устойчивость изделия к ударам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отсасывателя</w:t>
            </w:r>
            <w:proofErr w:type="spellEnd"/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…………..........................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................... 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>передвижной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 xml:space="preserve">Производительность, 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>\мин................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............................ 30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Время непрерывной работы, мин........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........................... 240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Вместимость банки-сборника, мл...........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........................ 2×2500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Наработка на отказ, ч.............................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.......................... 5000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Максимальное давление, кПа.............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............................ 90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 xml:space="preserve">Диапазон отрицательного давления, 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кПа...................... 20-90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Потребляемая мощность, Вт................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............................ 90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Шум, не более, дБ.................................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............................ 60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 xml:space="preserve">Наличие клапана для защиты 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от переполнения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….......... 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>есть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Наличие воздушного фильтра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.......................................... 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>есть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Регулировка давления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..............................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........................ 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>ручная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lastRenderedPageBreak/>
              <w:t>Возможность работы от аккумулятора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........................... 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Возможность питания от сети авто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мобиля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..................... 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Наличие ручки для переноса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................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........................... 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Наличие ножной педали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........................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.......................... 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>есть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Материал корпуса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…………………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……...................... 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>металл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Материал банки-сборника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.......................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........................ 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>стекло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Электропитание, В\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Гц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>………………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……...................... 220\50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Класс электробезопасности…........................................... I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Срок службы, лет ……….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.………………...................... 5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 xml:space="preserve">Гарантийный срок, </w:t>
            </w:r>
            <w:proofErr w:type="spellStart"/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…...............................................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.. 12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 xml:space="preserve">Длина, 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………..………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………………….................... 350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 xml:space="preserve">Ширина, 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…......................................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........................... 305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 xml:space="preserve">Высота, 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…................................................................... 810</w:t>
            </w:r>
          </w:p>
        </w:tc>
        <w:tc>
          <w:tcPr>
            <w:tcW w:w="999" w:type="dxa"/>
          </w:tcPr>
          <w:p w:rsidR="009E4267" w:rsidRPr="009E4267" w:rsidRDefault="009E4267" w:rsidP="007E4DA0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180 000,00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809" w:type="dxa"/>
          </w:tcPr>
          <w:p w:rsidR="009E4267" w:rsidRPr="009E4267" w:rsidRDefault="009E4267" w:rsidP="007E4DA0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9E4267" w:rsidRPr="009E4267" w:rsidTr="009E4267">
        <w:tc>
          <w:tcPr>
            <w:tcW w:w="1748" w:type="dxa"/>
          </w:tcPr>
          <w:p w:rsidR="009E4267" w:rsidRPr="009E4267" w:rsidRDefault="009E4267" w:rsidP="007E4DA0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lastRenderedPageBreak/>
              <w:t>Тележка для перевозки больных</w:t>
            </w:r>
          </w:p>
        </w:tc>
        <w:tc>
          <w:tcPr>
            <w:tcW w:w="7325" w:type="dxa"/>
          </w:tcPr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Тележка предназначена для перевозки больных в лежачем или сидячем положении в медицинских учреждениях здравоохранения. Приспособлена для наблюдения пациента, проведения</w:t>
            </w:r>
            <w:r w:rsidR="00980E9E">
              <w:rPr>
                <w:rFonts w:ascii="Times New Roman" w:hAnsi="Times New Roman"/>
                <w:sz w:val="20"/>
                <w:szCs w:val="20"/>
              </w:rPr>
              <w:t xml:space="preserve"> рентгенографии и массажа сердца 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Тележка изготовлена из стальных профилей с эпоксидным покрытием, устойчивым к механическим повреждениям. Дву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х-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или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трехсекционный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лежак выполнен из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рентгенопрозрачной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плиты. Под лежаком имеется туннель для прохождения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рентгенокассеты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по всей длине лежака. Регулировка спинной и тазобедренной (в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трехсекционной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версии) секций, а также наклоны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Тренделенбурга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и анти-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Тренделенбурга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производится плавно с помощью газовых пружин с блокировкой. Гидравлическая регулировка высоты каталки с помощью ножной педали. Четыре ходовых колеса с центральной блокировкой, в том числе одно с блокировкой по направлению. MOBILOPLUS оснащена в стандарте боковыми ограждениями,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инфузионной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стойкой, корзиной для одежды пациента и четырьмя отбойными колесами в углах лежака, держателем кислородного баллона (опцион), </w:t>
            </w:r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матрацем</w:t>
            </w:r>
            <w:proofErr w:type="gram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в широкой гамме цветов оснащенным ручками для перемещения на нем больного</w:t>
            </w:r>
            <w:r w:rsidR="00980E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Наружные размеры......................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..................2050 х 730 мм</w:t>
            </w:r>
            <w:r w:rsidR="00980E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Диапазон регулировки высоты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 лежака............600 – 900 мм</w:t>
            </w:r>
            <w:r w:rsidR="00980E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Угол наклона анти-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Трендел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енбурга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................0 - 12°</w:t>
            </w:r>
            <w:r w:rsidR="00980E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 xml:space="preserve">Угол наклона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Тренделенбурга</w:t>
            </w:r>
            <w:proofErr w:type="spellEnd"/>
            <w:r w:rsidRPr="009E42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........................0 - 20°</w:t>
            </w:r>
            <w:r w:rsidR="00980E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Угол наклона спинной секции .</w:t>
            </w:r>
            <w:r w:rsidRPr="009E4267">
              <w:rPr>
                <w:rFonts w:ascii="Times New Roman" w:hAnsi="Times New Roman"/>
                <w:sz w:val="20"/>
                <w:szCs w:val="20"/>
              </w:rPr>
              <w:t>........................0 - 60°</w:t>
            </w:r>
          </w:p>
          <w:p w:rsidR="009E4267" w:rsidRPr="009E4267" w:rsidRDefault="009E4267" w:rsidP="009E4267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>Угол наклона тазобедренной секции ........</w:t>
            </w:r>
            <w:bookmarkStart w:id="0" w:name="_GoBack"/>
            <w:bookmarkEnd w:id="0"/>
            <w:r w:rsidRPr="009E4267">
              <w:rPr>
                <w:rFonts w:ascii="Times New Roman" w:hAnsi="Times New Roman"/>
                <w:sz w:val="20"/>
                <w:szCs w:val="20"/>
              </w:rPr>
              <w:t>.......0 - 30</w:t>
            </w:r>
          </w:p>
        </w:tc>
        <w:tc>
          <w:tcPr>
            <w:tcW w:w="999" w:type="dxa"/>
          </w:tcPr>
          <w:p w:rsidR="009E4267" w:rsidRPr="009E4267" w:rsidRDefault="009E4267" w:rsidP="007E4DA0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 xml:space="preserve">599 000,00 </w:t>
            </w:r>
            <w:proofErr w:type="spellStart"/>
            <w:r w:rsidRPr="009E4267"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809" w:type="dxa"/>
          </w:tcPr>
          <w:p w:rsidR="009E4267" w:rsidRPr="009E4267" w:rsidRDefault="009E4267" w:rsidP="007E4DA0">
            <w:pPr>
              <w:rPr>
                <w:rFonts w:ascii="Times New Roman" w:hAnsi="Times New Roman"/>
                <w:sz w:val="20"/>
                <w:szCs w:val="20"/>
              </w:rPr>
            </w:pPr>
            <w:r w:rsidRPr="009E4267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9E4267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</w:tbl>
    <w:p w:rsidR="00F42F3A" w:rsidRPr="009E4267" w:rsidRDefault="00F42F3A" w:rsidP="007E4DA0">
      <w:pPr>
        <w:rPr>
          <w:rFonts w:ascii="Times New Roman" w:hAnsi="Times New Roman"/>
          <w:sz w:val="20"/>
          <w:szCs w:val="20"/>
        </w:rPr>
      </w:pPr>
    </w:p>
    <w:sectPr w:rsidR="00F42F3A" w:rsidRPr="009E4267" w:rsidSect="007E4DA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45A6"/>
    <w:multiLevelType w:val="hybridMultilevel"/>
    <w:tmpl w:val="CA082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41C5E"/>
    <w:multiLevelType w:val="hybridMultilevel"/>
    <w:tmpl w:val="AA226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E2CD0"/>
    <w:multiLevelType w:val="hybridMultilevel"/>
    <w:tmpl w:val="FD9CD5F0"/>
    <w:lvl w:ilvl="0" w:tplc="34D2E29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EA7"/>
    <w:rsid w:val="0000333C"/>
    <w:rsid w:val="00055DC5"/>
    <w:rsid w:val="0008591B"/>
    <w:rsid w:val="00087A23"/>
    <w:rsid w:val="000A4362"/>
    <w:rsid w:val="000D6E4A"/>
    <w:rsid w:val="001210E3"/>
    <w:rsid w:val="00123D78"/>
    <w:rsid w:val="001421E0"/>
    <w:rsid w:val="00153783"/>
    <w:rsid w:val="001701C7"/>
    <w:rsid w:val="001754B9"/>
    <w:rsid w:val="001E7790"/>
    <w:rsid w:val="001F6151"/>
    <w:rsid w:val="0021142D"/>
    <w:rsid w:val="002C744D"/>
    <w:rsid w:val="002D5D9F"/>
    <w:rsid w:val="002D6071"/>
    <w:rsid w:val="00315107"/>
    <w:rsid w:val="00326BBE"/>
    <w:rsid w:val="0034602A"/>
    <w:rsid w:val="003855FD"/>
    <w:rsid w:val="003A76EB"/>
    <w:rsid w:val="0048217C"/>
    <w:rsid w:val="004F7EA7"/>
    <w:rsid w:val="00502BE7"/>
    <w:rsid w:val="00505DCF"/>
    <w:rsid w:val="00532523"/>
    <w:rsid w:val="00561422"/>
    <w:rsid w:val="005978FC"/>
    <w:rsid w:val="00597C48"/>
    <w:rsid w:val="005B5761"/>
    <w:rsid w:val="00637223"/>
    <w:rsid w:val="00637CDD"/>
    <w:rsid w:val="00666583"/>
    <w:rsid w:val="0069151C"/>
    <w:rsid w:val="006A3167"/>
    <w:rsid w:val="006C30C7"/>
    <w:rsid w:val="006D4A42"/>
    <w:rsid w:val="006F1EF0"/>
    <w:rsid w:val="006F5655"/>
    <w:rsid w:val="006F78B2"/>
    <w:rsid w:val="007417E5"/>
    <w:rsid w:val="00774FC3"/>
    <w:rsid w:val="00776616"/>
    <w:rsid w:val="00785820"/>
    <w:rsid w:val="007B3801"/>
    <w:rsid w:val="007B380B"/>
    <w:rsid w:val="007C74A5"/>
    <w:rsid w:val="007E1DD4"/>
    <w:rsid w:val="007E4DA0"/>
    <w:rsid w:val="007F461D"/>
    <w:rsid w:val="00806B95"/>
    <w:rsid w:val="00827F74"/>
    <w:rsid w:val="00832E2A"/>
    <w:rsid w:val="00846AE2"/>
    <w:rsid w:val="0086723F"/>
    <w:rsid w:val="008868D8"/>
    <w:rsid w:val="008B58DB"/>
    <w:rsid w:val="008B775A"/>
    <w:rsid w:val="008C3256"/>
    <w:rsid w:val="008D2B73"/>
    <w:rsid w:val="0092302F"/>
    <w:rsid w:val="00925A7F"/>
    <w:rsid w:val="00951CEC"/>
    <w:rsid w:val="009609FC"/>
    <w:rsid w:val="00980E9E"/>
    <w:rsid w:val="009A0A7C"/>
    <w:rsid w:val="009B2378"/>
    <w:rsid w:val="009E4267"/>
    <w:rsid w:val="00A05FD9"/>
    <w:rsid w:val="00A15E4E"/>
    <w:rsid w:val="00A2266F"/>
    <w:rsid w:val="00A36AF5"/>
    <w:rsid w:val="00A52935"/>
    <w:rsid w:val="00A61185"/>
    <w:rsid w:val="00A8596F"/>
    <w:rsid w:val="00A87EF2"/>
    <w:rsid w:val="00A9402E"/>
    <w:rsid w:val="00AB26F9"/>
    <w:rsid w:val="00AD4795"/>
    <w:rsid w:val="00AE6173"/>
    <w:rsid w:val="00B029BA"/>
    <w:rsid w:val="00B07805"/>
    <w:rsid w:val="00B148AD"/>
    <w:rsid w:val="00B43A06"/>
    <w:rsid w:val="00B61412"/>
    <w:rsid w:val="00B667CA"/>
    <w:rsid w:val="00B671B5"/>
    <w:rsid w:val="00B969F2"/>
    <w:rsid w:val="00C43359"/>
    <w:rsid w:val="00CF0DE2"/>
    <w:rsid w:val="00CF6282"/>
    <w:rsid w:val="00D12B83"/>
    <w:rsid w:val="00DC1AB5"/>
    <w:rsid w:val="00E11CB4"/>
    <w:rsid w:val="00E256DB"/>
    <w:rsid w:val="00E45447"/>
    <w:rsid w:val="00E60D45"/>
    <w:rsid w:val="00E86FCB"/>
    <w:rsid w:val="00EA54E5"/>
    <w:rsid w:val="00EC2CE0"/>
    <w:rsid w:val="00EC4B2D"/>
    <w:rsid w:val="00EE05DB"/>
    <w:rsid w:val="00F36CA9"/>
    <w:rsid w:val="00F42F3A"/>
    <w:rsid w:val="00F66B60"/>
    <w:rsid w:val="00F861E7"/>
    <w:rsid w:val="00F869C9"/>
    <w:rsid w:val="00FA5A00"/>
    <w:rsid w:val="00FA74F5"/>
    <w:rsid w:val="00FB3C68"/>
    <w:rsid w:val="00FD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A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7E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8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FCB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semiHidden/>
    <w:unhideWhenUsed/>
    <w:rsid w:val="009E42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7A1F4-CE10-4851-8654-1E474D651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Домме</dc:creator>
  <cp:lastModifiedBy>Пользователь</cp:lastModifiedBy>
  <cp:revision>4</cp:revision>
  <cp:lastPrinted>2018-12-28T05:27:00Z</cp:lastPrinted>
  <dcterms:created xsi:type="dcterms:W3CDTF">2017-06-28T14:13:00Z</dcterms:created>
  <dcterms:modified xsi:type="dcterms:W3CDTF">2018-12-28T05:49:00Z</dcterms:modified>
</cp:coreProperties>
</file>